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D26B5" w14:textId="77777777" w:rsidR="00050E52" w:rsidRDefault="00050E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Calibri,Bold" w:hAnsi="Calibri,Bold" w:cs="Calibri,Bold"/>
          <w:b/>
          <w:bCs/>
          <w:sz w:val="32"/>
          <w:szCs w:val="32"/>
        </w:rPr>
      </w:pPr>
    </w:p>
    <w:p w14:paraId="00E2BC82" w14:textId="1F45708B" w:rsidR="00050E52" w:rsidRDefault="00BF58E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 xml:space="preserve">Comune di </w:t>
      </w:r>
      <w:r w:rsidR="00217080">
        <w:rPr>
          <w:rFonts w:ascii="Calibri,Bold" w:hAnsi="Calibri,Bold" w:cs="Calibri,Bold"/>
          <w:b/>
          <w:bCs/>
          <w:sz w:val="32"/>
          <w:szCs w:val="32"/>
        </w:rPr>
        <w:t>Arezzo</w:t>
      </w:r>
    </w:p>
    <w:p w14:paraId="15667709" w14:textId="77777777" w:rsidR="00050E52" w:rsidRDefault="00050E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</w:p>
    <w:p w14:paraId="16F14367" w14:textId="77777777" w:rsidR="00050E52" w:rsidRDefault="00050E52">
      <w:pPr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14:paraId="40B38F10" w14:textId="77777777" w:rsidR="00050E52" w:rsidRDefault="00050E52">
      <w:pPr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14:paraId="43842354" w14:textId="77777777" w:rsidR="00050E52" w:rsidRDefault="00DC616E">
      <w:pPr>
        <w:suppressAutoHyphens w:val="0"/>
        <w:spacing w:after="0" w:line="240" w:lineRule="auto"/>
        <w:textAlignment w:val="auto"/>
      </w:pPr>
      <w:r>
        <w:rPr>
          <w:b/>
          <w:bCs/>
        </w:rPr>
        <w:t>Criteri di aggiudicazione</w:t>
      </w:r>
      <w:r>
        <w:rPr>
          <w:b/>
          <w:bCs/>
        </w:rPr>
        <w:br/>
      </w:r>
      <w:r>
        <w:t xml:space="preserve">La Gara sarà aggiudicata all’Offerta economicamente più vantaggiosa individuata in base al criterio del miglior rapporto qualità/prezzo, ai sensi dell’art. 95 del </w:t>
      </w:r>
      <w:proofErr w:type="spellStart"/>
      <w:r>
        <w:t>D.Lgs.</w:t>
      </w:r>
      <w:proofErr w:type="spellEnd"/>
      <w:r>
        <w:t xml:space="preserve"> n. 50/2016.</w:t>
      </w:r>
      <w:r>
        <w:br/>
        <w:t xml:space="preserve">Per l’aggiudicazione di ciascun Lotto verranno attribuiti fino ad un massimo di </w:t>
      </w:r>
      <w:r>
        <w:rPr>
          <w:b/>
          <w:bCs/>
        </w:rPr>
        <w:t>punti 100</w:t>
      </w:r>
      <w:r>
        <w:t>.</w:t>
      </w:r>
      <w:r>
        <w:br/>
        <w:t xml:space="preserve">Le valutazioni verranno effettuate </w:t>
      </w:r>
      <w:r>
        <w:rPr>
          <w:b/>
          <w:bCs/>
        </w:rPr>
        <w:t xml:space="preserve">per ciascun Lotto </w:t>
      </w:r>
      <w:r>
        <w:t>sulla base dei seguenti elementi:</w:t>
      </w:r>
      <w:r>
        <w:br/>
        <w:t xml:space="preserve">1. Elemento </w:t>
      </w:r>
      <w:r>
        <w:rPr>
          <w:b/>
          <w:bCs/>
        </w:rPr>
        <w:t>tecnico</w:t>
      </w:r>
      <w:r>
        <w:t>:</w:t>
      </w:r>
      <w:r>
        <w:br/>
        <w:t>a. Punteggio tecnico massimo base = 8</w:t>
      </w:r>
      <w:r>
        <w:rPr>
          <w:b/>
          <w:bCs/>
        </w:rPr>
        <w:t xml:space="preserve">0 </w:t>
      </w:r>
      <w:r>
        <w:t>punti</w:t>
      </w:r>
      <w:r>
        <w:br/>
        <w:t xml:space="preserve">2. Elemento </w:t>
      </w:r>
      <w:r>
        <w:rPr>
          <w:b/>
          <w:bCs/>
        </w:rPr>
        <w:t>economico</w:t>
      </w:r>
      <w:r>
        <w:t>:</w:t>
      </w:r>
      <w:r>
        <w:br/>
        <w:t>b. Punteggio economico massimo base = 2</w:t>
      </w:r>
      <w:r>
        <w:rPr>
          <w:b/>
          <w:bCs/>
        </w:rPr>
        <w:t xml:space="preserve">0 </w:t>
      </w:r>
      <w:r>
        <w:t>punti</w:t>
      </w:r>
      <w:r>
        <w:br/>
        <w:t>Il punteggio di valutazione dell’offerta è determinato, per ciascun Concorrente e per ciascun Lotto, con la seguente formula:</w:t>
      </w:r>
      <w:r>
        <w:br/>
      </w:r>
      <w:r>
        <w:rPr>
          <w:b/>
          <w:bCs/>
        </w:rPr>
        <w:t>PCF = PTF + PEF</w:t>
      </w:r>
      <w:r>
        <w:rPr>
          <w:b/>
          <w:bCs/>
        </w:rPr>
        <w:br/>
      </w:r>
      <w:r>
        <w:t>dove:</w:t>
      </w:r>
    </w:p>
    <w:tbl>
      <w:tblPr>
        <w:tblW w:w="7950" w:type="dxa"/>
        <w:tblLayout w:type="fixed"/>
        <w:tblLook w:val="04A0" w:firstRow="1" w:lastRow="0" w:firstColumn="1" w:lastColumn="0" w:noHBand="0" w:noVBand="1"/>
      </w:tblPr>
      <w:tblGrid>
        <w:gridCol w:w="659"/>
        <w:gridCol w:w="7291"/>
      </w:tblGrid>
      <w:tr w:rsidR="00050E52" w14:paraId="57A6D457" w14:textId="7777777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C2CD3" w14:textId="77777777" w:rsidR="00050E52" w:rsidRDefault="00DC616E">
            <w:pPr>
              <w:widowControl w:val="0"/>
              <w:suppressAutoHyphens w:val="0"/>
              <w:spacing w:after="0" w:line="240" w:lineRule="auto"/>
              <w:textAlignment w:val="auto"/>
            </w:pPr>
            <w:r>
              <w:t xml:space="preserve">PCF 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0764A" w14:textId="77777777" w:rsidR="00050E52" w:rsidRDefault="00DC616E">
            <w:pPr>
              <w:widowControl w:val="0"/>
              <w:suppressAutoHyphens w:val="0"/>
              <w:spacing w:after="0" w:line="240" w:lineRule="auto"/>
              <w:textAlignment w:val="auto"/>
            </w:pPr>
            <w:r>
              <w:t>= punteggio finale complessivo assegnato al concorrente</w:t>
            </w:r>
          </w:p>
        </w:tc>
      </w:tr>
      <w:tr w:rsidR="00050E52" w14:paraId="63C64C6B" w14:textId="7777777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CF72E" w14:textId="77777777" w:rsidR="00050E52" w:rsidRDefault="00DC616E">
            <w:pPr>
              <w:widowControl w:val="0"/>
              <w:suppressAutoHyphens w:val="0"/>
              <w:spacing w:after="0" w:line="240" w:lineRule="auto"/>
              <w:textAlignment w:val="auto"/>
            </w:pPr>
            <w:r>
              <w:t xml:space="preserve">PTF 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376ED" w14:textId="77777777" w:rsidR="00050E52" w:rsidRDefault="00DC616E">
            <w:pPr>
              <w:widowControl w:val="0"/>
              <w:suppressAutoHyphens w:val="0"/>
              <w:spacing w:after="0" w:line="240" w:lineRule="auto"/>
              <w:textAlignment w:val="auto"/>
            </w:pPr>
            <w:r>
              <w:t>= punteggio finale assegnato al concorrente sul merito tecnico</w:t>
            </w:r>
          </w:p>
        </w:tc>
      </w:tr>
      <w:tr w:rsidR="00050E52" w14:paraId="128B3DCA" w14:textId="7777777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E9B7B" w14:textId="77777777" w:rsidR="00050E52" w:rsidRDefault="00DC616E">
            <w:pPr>
              <w:widowControl w:val="0"/>
              <w:suppressAutoHyphens w:val="0"/>
              <w:spacing w:after="0" w:line="240" w:lineRule="auto"/>
              <w:textAlignment w:val="auto"/>
            </w:pPr>
            <w:r>
              <w:t xml:space="preserve">PEF 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FAC21" w14:textId="77777777" w:rsidR="00050E52" w:rsidRDefault="00DC616E">
            <w:pPr>
              <w:widowControl w:val="0"/>
              <w:suppressAutoHyphens w:val="0"/>
              <w:spacing w:after="0" w:line="240" w:lineRule="auto"/>
              <w:textAlignment w:val="auto"/>
            </w:pPr>
            <w:r>
              <w:t>= punteggio finale assegnato al concorrente sul prezzo</w:t>
            </w:r>
          </w:p>
        </w:tc>
      </w:tr>
    </w:tbl>
    <w:p w14:paraId="02CE3305" w14:textId="77777777" w:rsidR="00050E52" w:rsidRDefault="00050E52">
      <w:pPr>
        <w:suppressAutoHyphens w:val="0"/>
        <w:spacing w:after="0" w:line="240" w:lineRule="auto"/>
        <w:textAlignment w:val="auto"/>
        <w:rPr>
          <w:b/>
          <w:bCs/>
        </w:rPr>
      </w:pPr>
    </w:p>
    <w:p w14:paraId="3B8808FB" w14:textId="77777777" w:rsidR="00050E52" w:rsidRDefault="00DC616E">
      <w:pPr>
        <w:suppressAutoHyphens w:val="0"/>
        <w:spacing w:after="0" w:line="240" w:lineRule="auto"/>
        <w:textAlignment w:val="auto"/>
        <w:rPr>
          <w:b/>
          <w:bCs/>
        </w:rPr>
      </w:pPr>
      <w:r>
        <w:rPr>
          <w:b/>
          <w:bCs/>
        </w:rPr>
        <w:t>L’aggiudicazione del Lotto sarà disposta, dunque, a favore del Concorrente che avrà conseguito il maggior punteggio ottenuto sommando i punti assegnati all’Offerta Tecnica ed all’Offerta Economica.</w:t>
      </w:r>
    </w:p>
    <w:p w14:paraId="6CCD4792" w14:textId="77777777" w:rsidR="00050E52" w:rsidRDefault="00DC616E">
      <w:pPr>
        <w:suppressAutoHyphens w:val="0"/>
        <w:spacing w:after="0" w:line="240" w:lineRule="auto"/>
        <w:textAlignment w:val="auto"/>
      </w:pPr>
      <w:r>
        <w:rPr>
          <w:b/>
          <w:bCs/>
        </w:rPr>
        <w:br/>
        <w:t xml:space="preserve">N.B. </w:t>
      </w:r>
      <w:r>
        <w:t xml:space="preserve">La mancata separazione dell’Offerta Economica dall’Offerta Tecnica, ovvero l’inserimento di elementi concernenti il prezzo in documenti contenuti nelle Buste A e B, </w:t>
      </w:r>
      <w:r>
        <w:rPr>
          <w:b/>
          <w:bCs/>
        </w:rPr>
        <w:t>è causa di esclusione.</w:t>
      </w:r>
    </w:p>
    <w:p w14:paraId="1A3F9A56" w14:textId="77777777" w:rsidR="00050E52" w:rsidRDefault="00DC616E">
      <w:pPr>
        <w:suppressAutoHyphens w:val="0"/>
        <w:spacing w:after="0" w:line="240" w:lineRule="auto"/>
        <w:textAlignment w:val="auto"/>
      </w:pPr>
      <w:r>
        <w:rPr>
          <w:b/>
          <w:bCs/>
        </w:rPr>
        <w:br/>
      </w:r>
      <w:r>
        <w:t>Sono escluse le Offerte plurime, condizionate, tardive, alternative o espresse in aumento rispetto all’importo a base di Gara.</w:t>
      </w:r>
    </w:p>
    <w:p w14:paraId="1510971B" w14:textId="77777777" w:rsidR="00050E52" w:rsidRDefault="00050E52">
      <w:pPr>
        <w:suppressAutoHyphens w:val="0"/>
        <w:spacing w:after="0" w:line="240" w:lineRule="auto"/>
        <w:textAlignment w:val="auto"/>
      </w:pPr>
    </w:p>
    <w:p w14:paraId="3881B3B0" w14:textId="77777777" w:rsidR="00050E52" w:rsidRDefault="00050E52">
      <w:pPr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14:paraId="62D72859" w14:textId="77777777" w:rsidR="00050E52" w:rsidRDefault="00050E52">
      <w:pPr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14:paraId="7333CE1F" w14:textId="77777777" w:rsidR="00050E52" w:rsidRDefault="00050E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Calibri,Bold" w:hAnsi="Calibri,Bold" w:cs="Calibri,Bold"/>
          <w:b/>
          <w:bCs/>
          <w:sz w:val="32"/>
          <w:szCs w:val="32"/>
        </w:rPr>
      </w:pPr>
    </w:p>
    <w:p w14:paraId="25777BC4" w14:textId="77777777" w:rsidR="00050E52" w:rsidRDefault="00DC616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 xml:space="preserve">Modello Criteri di valutazione Offerta Tecnica  </w:t>
      </w:r>
    </w:p>
    <w:p w14:paraId="73D3D575" w14:textId="77777777" w:rsidR="00050E52" w:rsidRDefault="00DC616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Criteri di valutazione Offerta Tecnica (COT)</w:t>
      </w:r>
    </w:p>
    <w:p w14:paraId="20B0DFBE" w14:textId="77777777" w:rsidR="00050E52" w:rsidRDefault="00050E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Calibri,Bold" w:hAnsi="Calibri,Bold" w:cs="Calibri,Bold"/>
          <w:b/>
          <w:bCs/>
          <w:sz w:val="32"/>
          <w:szCs w:val="32"/>
        </w:rPr>
      </w:pPr>
    </w:p>
    <w:p w14:paraId="3C8447C7" w14:textId="77777777" w:rsidR="00050E52" w:rsidRDefault="00050E52">
      <w:pPr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14:paraId="39C26945" w14:textId="77777777" w:rsidR="00050E52" w:rsidRDefault="00DC616E">
      <w:pPr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Punteggio massimo attribuibile all’Offerta Tecnica, punti 80, applicando la seguente ponderazione.</w:t>
      </w:r>
    </w:p>
    <w:p w14:paraId="724D5CF2" w14:textId="77777777" w:rsidR="00050E52" w:rsidRDefault="00050E52">
      <w:pPr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14:paraId="1CF3AACD" w14:textId="77777777" w:rsidR="00050E52" w:rsidRDefault="00050E52">
      <w:pPr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14:paraId="4AEC29C1" w14:textId="77777777" w:rsidR="00050E52" w:rsidRDefault="00DC616E">
      <w:pPr>
        <w:widowControl w:val="0"/>
        <w:shd w:val="clear" w:color="auto" w:fill="FFFFFF"/>
        <w:spacing w:after="0" w:line="240" w:lineRule="auto"/>
        <w:jc w:val="both"/>
        <w:rPr>
          <w:rFonts w:ascii="Verdana" w:eastAsia="Lucida Sans Unicode" w:hAnsi="Verdana" w:cs="Arial"/>
          <w:b/>
          <w:bCs/>
          <w:color w:val="000000"/>
          <w:kern w:val="2"/>
          <w:lang w:eastAsia="zh-CN" w:bidi="hi-IN"/>
        </w:rPr>
      </w:pPr>
      <w:r>
        <w:rPr>
          <w:rFonts w:ascii="Verdana" w:eastAsia="Lucida Sans Unicode" w:hAnsi="Verdana" w:cs="Arial"/>
          <w:b/>
          <w:bCs/>
          <w:color w:val="000000"/>
          <w:kern w:val="2"/>
          <w:lang w:eastAsia="zh-CN" w:bidi="hi-IN"/>
        </w:rPr>
        <w:t>Offerta tecnica qualitativa       _________________</w:t>
      </w:r>
      <w:r>
        <w:rPr>
          <w:rFonts w:ascii="Verdana" w:eastAsia="Lucida Sans Unicode" w:hAnsi="Verdana" w:cs="Arial"/>
          <w:b/>
          <w:bCs/>
          <w:color w:val="000000"/>
          <w:kern w:val="2"/>
          <w:lang w:eastAsia="zh-CN" w:bidi="hi-IN"/>
        </w:rPr>
        <w:tab/>
        <w:t>punti____ 80</w:t>
      </w:r>
    </w:p>
    <w:p w14:paraId="610A9C31" w14:textId="77777777" w:rsidR="00050E52" w:rsidRDefault="00050E52">
      <w:pPr>
        <w:widowControl w:val="0"/>
        <w:spacing w:after="0" w:line="240" w:lineRule="auto"/>
        <w:rPr>
          <w:rFonts w:ascii="Verdana" w:eastAsia="Lucida Sans Unicode" w:hAnsi="Verdana" w:cs="Arial"/>
          <w:bCs/>
          <w:color w:val="000000"/>
          <w:kern w:val="2"/>
          <w:u w:val="single"/>
          <w:lang w:eastAsia="zh-CN" w:bidi="hi-IN"/>
        </w:rPr>
      </w:pPr>
    </w:p>
    <w:p w14:paraId="6F16DDCA" w14:textId="77777777" w:rsidR="00050E52" w:rsidRDefault="00DC616E">
      <w:pPr>
        <w:spacing w:after="0" w:line="240" w:lineRule="auto"/>
        <w:jc w:val="both"/>
        <w:rPr>
          <w:rFonts w:ascii="Verdana" w:eastAsia="Lucida Sans Unicode" w:hAnsi="Verdana" w:cs="Mangal"/>
          <w:kern w:val="2"/>
          <w:lang w:eastAsia="zh-CN" w:bidi="hi-IN"/>
        </w:rPr>
      </w:pPr>
      <w:r>
        <w:rPr>
          <w:rFonts w:ascii="Verdana" w:eastAsia="Lucida Sans Unicode" w:hAnsi="Verdana" w:cs="Mangal"/>
          <w:kern w:val="2"/>
          <w:lang w:eastAsia="zh-CN" w:bidi="hi-IN"/>
        </w:rPr>
        <w:t>Per ciascun lotto il concorrente dovrà presentare offerta in base al MODELLO DI OFFERTA TECNICA allegato al Disciplinare.</w:t>
      </w:r>
    </w:p>
    <w:p w14:paraId="5B476DFD" w14:textId="77777777" w:rsidR="00050E52" w:rsidRDefault="00050E52">
      <w:pPr>
        <w:spacing w:after="0" w:line="240" w:lineRule="auto"/>
        <w:jc w:val="both"/>
        <w:rPr>
          <w:rFonts w:ascii="Verdana" w:eastAsia="Lucida Sans Unicode" w:hAnsi="Verdana" w:cs="Mangal"/>
          <w:kern w:val="2"/>
          <w:lang w:eastAsia="zh-CN" w:bidi="hi-IN"/>
        </w:rPr>
      </w:pPr>
    </w:p>
    <w:p w14:paraId="5E537A6B" w14:textId="77777777" w:rsidR="00050E52" w:rsidRDefault="00DC616E">
      <w:pPr>
        <w:keepLines/>
        <w:tabs>
          <w:tab w:val="left" w:pos="-1418"/>
          <w:tab w:val="left" w:pos="-993"/>
        </w:tabs>
        <w:spacing w:after="0" w:line="240" w:lineRule="auto"/>
        <w:jc w:val="both"/>
        <w:rPr>
          <w:rFonts w:ascii="Verdana" w:eastAsia="Lucida Sans Unicode" w:hAnsi="Verdana" w:cs="Mangal"/>
          <w:kern w:val="2"/>
          <w:lang w:eastAsia="zh-CN" w:bidi="hi-IN"/>
        </w:rPr>
      </w:pPr>
      <w:r>
        <w:rPr>
          <w:rFonts w:ascii="Verdana" w:eastAsia="Lucida Sans Unicode" w:hAnsi="Verdana" w:cs="Mangal"/>
          <w:kern w:val="2"/>
          <w:lang w:eastAsia="zh-CN" w:bidi="hi-IN"/>
        </w:rPr>
        <w:lastRenderedPageBreak/>
        <w:t>La documentazione dell’Offerta Tecnica non dovrà contenere elementi che facciano parte dell’Offerta Economica o che comunque consentano di ricostruirla.</w:t>
      </w:r>
    </w:p>
    <w:p w14:paraId="438C5035" w14:textId="77777777" w:rsidR="00050E52" w:rsidRDefault="00050E52">
      <w:pPr>
        <w:spacing w:after="0" w:line="240" w:lineRule="auto"/>
        <w:jc w:val="both"/>
        <w:rPr>
          <w:rFonts w:ascii="Verdana" w:eastAsia="Lucida Sans Unicode" w:hAnsi="Verdana" w:cs="Mangal"/>
          <w:kern w:val="2"/>
          <w:lang w:eastAsia="zh-CN" w:bidi="hi-IN"/>
        </w:rPr>
      </w:pPr>
    </w:p>
    <w:p w14:paraId="78EDEC53" w14:textId="77777777" w:rsidR="00050E52" w:rsidRDefault="00DC616E">
      <w:pPr>
        <w:spacing w:after="0" w:line="240" w:lineRule="auto"/>
        <w:jc w:val="both"/>
        <w:rPr>
          <w:rFonts w:ascii="Verdana" w:eastAsia="Lucida Sans Unicode" w:hAnsi="Verdana" w:cs="Mangal"/>
          <w:kern w:val="2"/>
          <w:lang w:eastAsia="zh-CN" w:bidi="hi-IN"/>
        </w:rPr>
      </w:pPr>
      <w:r>
        <w:rPr>
          <w:rFonts w:ascii="Verdana" w:eastAsia="Lucida Sans Unicode" w:hAnsi="Verdana" w:cs="Mangal"/>
          <w:kern w:val="2"/>
          <w:lang w:eastAsia="zh-CN" w:bidi="hi-IN"/>
        </w:rPr>
        <w:t>I punteggi verranno attribuiti in base ai criteri seguenti:</w:t>
      </w:r>
    </w:p>
    <w:p w14:paraId="5A901BA5" w14:textId="77777777" w:rsidR="00050E52" w:rsidRDefault="00050E52">
      <w:pPr>
        <w:spacing w:after="0" w:line="240" w:lineRule="auto"/>
        <w:jc w:val="both"/>
        <w:rPr>
          <w:rFonts w:ascii="Verdana" w:eastAsia="Lucida Sans Unicode" w:hAnsi="Verdana" w:cs="Mangal"/>
          <w:kern w:val="2"/>
          <w:lang w:eastAsia="zh-CN" w:bidi="hi-IN"/>
        </w:rPr>
      </w:pPr>
    </w:p>
    <w:tbl>
      <w:tblPr>
        <w:tblW w:w="96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284"/>
        <w:gridCol w:w="1361"/>
      </w:tblGrid>
      <w:tr w:rsidR="00050E52" w14:paraId="312C5429" w14:textId="77777777">
        <w:tc>
          <w:tcPr>
            <w:tcW w:w="8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5816D91" w14:textId="77777777" w:rsidR="00050E52" w:rsidRDefault="00DC616E">
            <w:pPr>
              <w:widowControl w:val="0"/>
              <w:tabs>
                <w:tab w:val="left" w:pos="567"/>
                <w:tab w:val="left" w:pos="1134"/>
                <w:tab w:val="left" w:pos="5103"/>
                <w:tab w:val="right" w:pos="9645"/>
              </w:tabs>
              <w:spacing w:after="0" w:line="240" w:lineRule="auto"/>
              <w:jc w:val="both"/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1.</w:t>
            </w:r>
            <w:r>
              <w:rPr>
                <w:rFonts w:ascii="Verdana" w:eastAsia="Lucida Sans Unicode" w:hAnsi="Verdana" w:cs="Tahoma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Accettazione integrale delle condizioni normative</w:t>
            </w:r>
            <w:r>
              <w:rPr>
                <w:rFonts w:ascii="Verdana" w:eastAsia="Lucida Sans Unicode" w:hAnsi="Verdana" w:cs="Tahoma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 xml:space="preserve"> previste dai capitolati tecnici di gara, senza applicazione di variante alcuna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551B5" w14:textId="77777777" w:rsidR="00050E52" w:rsidRDefault="00DC616E">
            <w:pPr>
              <w:widowControl w:val="0"/>
              <w:tabs>
                <w:tab w:val="left" w:pos="567"/>
                <w:tab w:val="left" w:pos="1134"/>
                <w:tab w:val="left" w:pos="5103"/>
                <w:tab w:val="right" w:pos="9645"/>
              </w:tabs>
              <w:spacing w:after="0" w:line="240" w:lineRule="auto"/>
              <w:jc w:val="right"/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punti 42</w:t>
            </w:r>
          </w:p>
        </w:tc>
      </w:tr>
      <w:tr w:rsidR="00050E52" w14:paraId="338BF57B" w14:textId="77777777">
        <w:tc>
          <w:tcPr>
            <w:tcW w:w="8283" w:type="dxa"/>
            <w:tcBorders>
              <w:left w:val="single" w:sz="2" w:space="0" w:color="000000"/>
              <w:bottom w:val="single" w:sz="2" w:space="0" w:color="000000"/>
            </w:tcBorders>
          </w:tcPr>
          <w:p w14:paraId="0CA586B5" w14:textId="77777777" w:rsidR="00050E52" w:rsidRDefault="00DC616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2.</w:t>
            </w:r>
            <w:r>
              <w:rPr>
                <w:rFonts w:ascii="Verdana" w:eastAsia="Lucida Sans Unicode" w:hAnsi="Verdana" w:cs="Tahoma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Varianti peggiorative</w:t>
            </w:r>
            <w:r>
              <w:rPr>
                <w:rFonts w:ascii="Verdana" w:eastAsia="Lucida Sans Unicode" w:hAnsi="Verdana" w:cs="Tahoma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 xml:space="preserve">: qualora l’offerta tecnica presenti varianti peggiorative al capitolato tecnico, il punteggio base di 42 punti verrà ridotto 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in proporzione diretta alla gravità della variante proposta,</w:t>
            </w:r>
            <w:r>
              <w:rPr>
                <w:rFonts w:ascii="Verdana" w:eastAsia="Lucida Sans Unicode" w:hAnsi="Verdana" w:cs="Tahoma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 xml:space="preserve"> come di seguito 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precisato.</w:t>
            </w:r>
          </w:p>
          <w:p w14:paraId="452D911D" w14:textId="77777777" w:rsidR="00050E52" w:rsidRDefault="00DC616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Verdana" w:eastAsia="Lucida Sans Unicode" w:hAnsi="Verdana" w:cs="Tahoma"/>
                <w:b/>
                <w:color w:val="000000"/>
                <w:kern w:val="2"/>
                <w:sz w:val="20"/>
                <w:szCs w:val="20"/>
                <w:lang w:eastAsia="zh-CN" w:bidi="hi-IN"/>
              </w:rPr>
              <w:t>2.1</w:t>
            </w:r>
            <w:r>
              <w:rPr>
                <w:rFonts w:ascii="Verdana" w:eastAsia="Lucida Sans Unicode" w:hAnsi="Verdana" w:cs="Tahoma"/>
                <w:b/>
                <w:color w:val="000000"/>
                <w:kern w:val="2"/>
                <w:sz w:val="20"/>
                <w:szCs w:val="20"/>
                <w:lang w:eastAsia="zh-CN" w:bidi="hi-IN"/>
              </w:rPr>
              <w:tab/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Ciascuna variante sarà valutata dalla Commissione di gara che procederà a proprio insindacabile giudizio, alla riduzione del punteggio base (punti 42) in proporzione diretta alla gravità del peggioramento proposto, sulla base della griglia di valutazione di seguito riportata.</w:t>
            </w:r>
          </w:p>
          <w:p w14:paraId="0024EAB1" w14:textId="1C5C86D5" w:rsidR="00050E52" w:rsidRDefault="00DC616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2.2</w:t>
            </w: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ab/>
              <w:t xml:space="preserve">A pena di esclusione, 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sono ammesse varianti al capitolato tecnico </w:t>
            </w: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in numero non superiore a tre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.</w:t>
            </w:r>
          </w:p>
          <w:p w14:paraId="24AD53FA" w14:textId="571F3428" w:rsidR="00591BF6" w:rsidRDefault="00591BF6">
            <w:pPr>
              <w:widowControl w:val="0"/>
              <w:tabs>
                <w:tab w:val="left" w:pos="567"/>
              </w:tabs>
              <w:spacing w:after="0" w:line="240" w:lineRule="auto"/>
              <w:jc w:val="both"/>
            </w:pP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N.B.: con riferimento alla necessità di inserire clausole alternative a quelle previste nei capitolati relativamente a</w:t>
            </w:r>
            <w:r w:rsidRPr="00591BF6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“</w:t>
            </w:r>
            <w:r w:rsidRPr="00591BF6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misure restrittive- sanzioni internazionali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”</w:t>
            </w:r>
            <w:r w:rsidRPr="00591BF6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, avuto conto che l’inserimento d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i</w:t>
            </w:r>
            <w:r w:rsidRPr="00591BF6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tali </w:t>
            </w:r>
            <w:r w:rsidRPr="00591BF6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clausol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e</w:t>
            </w:r>
            <w:r w:rsidRPr="00591BF6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 non costituisce per l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’Amministrazione </w:t>
            </w:r>
            <w:r w:rsidRPr="00591BF6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una variante prestazionale rispetto al contenuto dei capitolati di polizza, bensì un mero recepimento delle vigenti disposizioni normative e regolamenti nazionali ed internazionali, si acconsente all’inserimento d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i</w:t>
            </w:r>
            <w:r w:rsidRPr="00591BF6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 variant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i aventi ad oggetto</w:t>
            </w:r>
            <w:r w:rsidRPr="00591BF6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“misure restrittive e sanzioni internazionali” </w:t>
            </w:r>
            <w:r w:rsidRPr="00591BF6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o alla sostituzione di quell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e</w:t>
            </w:r>
            <w:r w:rsidRPr="00591BF6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 già previst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e </w:t>
            </w:r>
            <w:r w:rsidRPr="00591BF6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dal capitolato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="00093577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aventi formulazioni analoghe, 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senza che tali varianti vengano conteggiate </w:t>
            </w:r>
            <w:r w:rsidR="00EB08E0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nel limite massimo ammesso non superiore a 3 di cui sopra</w:t>
            </w:r>
            <w:r w:rsidRPr="00591BF6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.</w:t>
            </w:r>
          </w:p>
          <w:p w14:paraId="234C4405" w14:textId="598F0788" w:rsidR="00050E52" w:rsidRDefault="00DC616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2.3 A pena di esclusione,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="00327AA1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in relazione al lotto 2 RCT/O, 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non sono ammesse variazioni della soglia </w:t>
            </w:r>
            <w:r w:rsidR="00D8433B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fissata per la S.I.R. /Franchigia frontale</w:t>
            </w:r>
            <w:r w:rsidR="00A6413B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, </w:t>
            </w:r>
            <w:r w:rsidR="00327AA1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salvo quanto </w:t>
            </w:r>
            <w:r w:rsidR="00E02F99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successivamente 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disciplinato</w:t>
            </w:r>
            <w:r w:rsidR="00327AA1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 alla </w:t>
            </w:r>
            <w:r w:rsidR="00E02F99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specifica </w:t>
            </w:r>
            <w:r w:rsidR="00327AA1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variante </w:t>
            </w:r>
            <w:r w:rsidR="00E02F99"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prevista per tale lotto.</w:t>
            </w: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A44BE" w14:textId="77777777" w:rsidR="00050E52" w:rsidRDefault="00DC616E">
            <w:pPr>
              <w:widowControl w:val="0"/>
              <w:suppressLineNumbers/>
              <w:spacing w:after="0" w:line="240" w:lineRule="auto"/>
              <w:jc w:val="right"/>
              <w:rPr>
                <w:rFonts w:ascii="Verdana" w:eastAsia="Lucida Sans Unicode" w:hAnsi="Verdana" w:cs="Mang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Verdana" w:eastAsia="Lucida Sans Unicode" w:hAnsi="Verdana" w:cs="Mangal"/>
                <w:b/>
                <w:bCs/>
                <w:kern w:val="2"/>
                <w:sz w:val="20"/>
                <w:szCs w:val="20"/>
                <w:lang w:eastAsia="zh-CN" w:bidi="hi-IN"/>
              </w:rPr>
              <w:t>Detrazioni rispetto al punteggio base di 42 punti</w:t>
            </w:r>
          </w:p>
        </w:tc>
      </w:tr>
      <w:tr w:rsidR="00050E52" w14:paraId="1C161FFF" w14:textId="77777777">
        <w:tc>
          <w:tcPr>
            <w:tcW w:w="8283" w:type="dxa"/>
            <w:tcBorders>
              <w:left w:val="single" w:sz="2" w:space="0" w:color="000000"/>
              <w:bottom w:val="single" w:sz="2" w:space="0" w:color="000000"/>
            </w:tcBorders>
          </w:tcPr>
          <w:p w14:paraId="1B553BF7" w14:textId="77777777" w:rsidR="00050E52" w:rsidRDefault="00DC616E">
            <w:pPr>
              <w:widowControl w:val="0"/>
              <w:spacing w:after="0" w:line="240" w:lineRule="auto"/>
              <w:jc w:val="both"/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3. Varianti migliorative</w:t>
            </w:r>
            <w:r>
              <w:rPr>
                <w:rFonts w:ascii="Verdana" w:eastAsia="Lucida Sans Unicode" w:hAnsi="Verdana" w:cs="Tahoma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 xml:space="preserve">: qualora l’offerta tecnica presenti varianti migliorative al capitolato tecnico, verrà attribuito un punteggio, in addizione al punteggio base di 42 punti, </w:t>
            </w: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fino ad un massimo di ulteriori 38 punti</w:t>
            </w:r>
            <w:r>
              <w:rPr>
                <w:rFonts w:ascii="Verdana" w:eastAsia="Lucida Sans Unicode" w:hAnsi="Verdana" w:cs="Tahoma"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, suddiviso e conteggiato come da specifiche di seguito distintamente riportate per ciascun singolo lotto.</w:t>
            </w:r>
          </w:p>
          <w:p w14:paraId="2FEA22C3" w14:textId="3A5EECF4" w:rsidR="00050E52" w:rsidRDefault="00DC616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Verdana" w:eastAsia="Lucida Sans Unicode" w:hAnsi="Verdana" w:cs="Calibri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Verdana" w:eastAsia="Lucida Sans Unicode" w:hAnsi="Verdana" w:cs="Calibri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3.1</w:t>
            </w:r>
            <w:r>
              <w:rPr>
                <w:rFonts w:ascii="Verdana" w:eastAsia="Lucida Sans Unicode" w:hAnsi="Verdana" w:cs="Calibri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ab/>
              <w:t>Le varianti ammesse e previste sono esclusivamente quelle enumerate e descritte</w:t>
            </w:r>
            <w:r w:rsidR="004C7A05">
              <w:rPr>
                <w:rFonts w:ascii="Verdana" w:eastAsia="Lucida Sans Unicode" w:hAnsi="Verdana" w:cs="Calibri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 xml:space="preserve"> nei relativi criteri di valutazione predisposti per ciascun lotto</w:t>
            </w:r>
            <w:r>
              <w:rPr>
                <w:rFonts w:ascii="Verdana" w:eastAsia="Lucida Sans Unicode" w:hAnsi="Verdana" w:cs="Calibri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.</w:t>
            </w:r>
          </w:p>
          <w:p w14:paraId="444456E0" w14:textId="77777777" w:rsidR="00050E52" w:rsidRDefault="00DC616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Verdana" w:eastAsia="Lucida Sans Unicode" w:hAnsi="Verdana" w:cs="Calibri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Verdana" w:eastAsia="Lucida Sans Unicode" w:hAnsi="Verdana" w:cs="Calibri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Al concorrente che avrà offerto e sottoscritto la variante indicata, verrà attribuito il punteggio assegnato a quella specifica variante, al concorrente che non avrà offerto e sottoscritto quella specifica variante, non verrà attribuito alcun punteggio aggiuntivo. Ogni differente variante migliorativa da quelle indicate, non verrà valutata.</w:t>
            </w:r>
          </w:p>
          <w:p w14:paraId="0CC5A685" w14:textId="77777777" w:rsidR="00050E52" w:rsidRDefault="00050E52">
            <w:pPr>
              <w:widowControl w:val="0"/>
              <w:tabs>
                <w:tab w:val="left" w:pos="567"/>
              </w:tabs>
              <w:spacing w:after="0" w:line="240" w:lineRule="auto"/>
              <w:jc w:val="both"/>
            </w:pP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1F950" w14:textId="77777777" w:rsidR="00050E52" w:rsidRDefault="00DC616E">
            <w:pPr>
              <w:widowControl w:val="0"/>
              <w:suppressLineNumbers/>
              <w:spacing w:after="0" w:line="240" w:lineRule="auto"/>
              <w:jc w:val="right"/>
              <w:rPr>
                <w:rFonts w:ascii="Verdana" w:eastAsia="Lucida Sans Unicode" w:hAnsi="Verdana" w:cs="Mang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Verdana" w:eastAsia="Lucida Sans Unicode" w:hAnsi="Verdana" w:cs="Mangal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Massimo punti 38 attribuiti in aumento </w:t>
            </w:r>
          </w:p>
        </w:tc>
      </w:tr>
    </w:tbl>
    <w:p w14:paraId="17D63A61" w14:textId="77777777" w:rsidR="00050E52" w:rsidRDefault="00DC616E">
      <w:pPr>
        <w:spacing w:after="0" w:line="240" w:lineRule="auto"/>
        <w:jc w:val="both"/>
        <w:rPr>
          <w:rFonts w:ascii="Verdana" w:eastAsia="Lucida Sans Unicode" w:hAnsi="Verdana" w:cs="Mangal"/>
          <w:kern w:val="2"/>
          <w:lang w:eastAsia="zh-CN" w:bidi="hi-IN"/>
        </w:rPr>
      </w:pPr>
      <w:r>
        <w:rPr>
          <w:rFonts w:ascii="Verdana" w:eastAsia="Lucida Sans Unicode" w:hAnsi="Verdana" w:cs="Mangal"/>
          <w:kern w:val="2"/>
          <w:lang w:eastAsia="zh-CN" w:bidi="hi-IN"/>
        </w:rPr>
        <w:tab/>
      </w:r>
      <w:r>
        <w:rPr>
          <w:rFonts w:ascii="Verdana" w:eastAsia="Lucida Sans Unicode" w:hAnsi="Verdana" w:cs="Mangal"/>
          <w:kern w:val="2"/>
          <w:lang w:eastAsia="zh-CN" w:bidi="hi-IN"/>
        </w:rPr>
        <w:tab/>
      </w:r>
    </w:p>
    <w:p w14:paraId="108A4C52" w14:textId="77777777" w:rsidR="00050E52" w:rsidRDefault="00050E52">
      <w:pPr>
        <w:spacing w:after="0" w:line="240" w:lineRule="auto"/>
        <w:jc w:val="both"/>
        <w:rPr>
          <w:rFonts w:ascii="Verdana" w:eastAsia="Lucida Sans Unicode" w:hAnsi="Verdana" w:cs="Mangal"/>
          <w:kern w:val="2"/>
          <w:lang w:eastAsia="zh-CN" w:bidi="hi-IN"/>
        </w:rPr>
      </w:pPr>
    </w:p>
    <w:p w14:paraId="249E984B" w14:textId="77777777" w:rsidR="00050E52" w:rsidRDefault="00050E52">
      <w:pPr>
        <w:spacing w:after="0" w:line="240" w:lineRule="auto"/>
        <w:jc w:val="both"/>
        <w:rPr>
          <w:rFonts w:ascii="Verdana" w:eastAsia="Lucida Sans Unicode" w:hAnsi="Verdana" w:cs="Mangal"/>
          <w:kern w:val="2"/>
          <w:lang w:eastAsia="zh-CN" w:bidi="hi-IN"/>
        </w:rPr>
      </w:pPr>
    </w:p>
    <w:p w14:paraId="7345390E" w14:textId="77777777" w:rsidR="00050E52" w:rsidRDefault="00050E52">
      <w:pPr>
        <w:spacing w:after="0" w:line="240" w:lineRule="auto"/>
        <w:jc w:val="both"/>
        <w:rPr>
          <w:rFonts w:ascii="Verdana" w:eastAsia="Lucida Sans Unicode" w:hAnsi="Verdana" w:cs="Mangal"/>
          <w:kern w:val="2"/>
          <w:lang w:eastAsia="zh-CN" w:bidi="hi-IN"/>
        </w:rPr>
      </w:pPr>
    </w:p>
    <w:tbl>
      <w:tblPr>
        <w:tblW w:w="9645" w:type="dxa"/>
        <w:tblInd w:w="36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754"/>
        <w:gridCol w:w="1891"/>
      </w:tblGrid>
      <w:tr w:rsidR="00050E52" w14:paraId="7FC4632C" w14:textId="77777777">
        <w:trPr>
          <w:cantSplit/>
          <w:tblHeader/>
        </w:trPr>
        <w:tc>
          <w:tcPr>
            <w:tcW w:w="7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AAB6B0" w14:textId="77777777" w:rsidR="00050E52" w:rsidRDefault="00050E52">
            <w:pPr>
              <w:widowControl w:val="0"/>
              <w:spacing w:after="0" w:line="240" w:lineRule="auto"/>
              <w:jc w:val="center"/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  <w:p w14:paraId="4D2F474B" w14:textId="77777777" w:rsidR="00050E52" w:rsidRDefault="00DC616E">
            <w:pPr>
              <w:widowControl w:val="0"/>
              <w:spacing w:after="0" w:line="240" w:lineRule="auto"/>
              <w:jc w:val="center"/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Apprezzamento della variante PEGGIORATIVA</w:t>
            </w: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9CEDB6B" w14:textId="77777777" w:rsidR="00050E52" w:rsidRDefault="00DC616E">
            <w:pPr>
              <w:widowControl w:val="0"/>
              <w:spacing w:after="0" w:line="240" w:lineRule="auto"/>
              <w:jc w:val="center"/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Punteggio detratto</w:t>
            </w:r>
          </w:p>
        </w:tc>
      </w:tr>
      <w:tr w:rsidR="00050E52" w14:paraId="155228B4" w14:textId="77777777">
        <w:trPr>
          <w:cantSplit/>
        </w:trPr>
        <w:tc>
          <w:tcPr>
            <w:tcW w:w="7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C1D7DE1" w14:textId="77777777" w:rsidR="00050E52" w:rsidRDefault="00DC616E">
            <w:pPr>
              <w:widowControl w:val="0"/>
              <w:spacing w:before="120" w:after="0" w:line="100" w:lineRule="atLeast"/>
              <w:jc w:val="both"/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grave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: l’ampia riduzione o la totale abrogazione di garanzie specifiche, o la consistente limitazione di somme garantite o massimali assicurati incidenti su rischi specifici con elevata potenzialità di danno; da ritenersi grave anche la riduzione o la totale abrogazione di garanzie inerenti obbligazioni contrattuali o di legge di una amministrazione. La variante grave è tale da limitare significativamente la garanzia o alcune delle garanzie più rilevanti di cui al capitolato tecnico di gara.</w:t>
            </w: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272F3FD" w14:textId="77777777" w:rsidR="00050E52" w:rsidRDefault="00DC616E">
            <w:pPr>
              <w:widowControl w:val="0"/>
              <w:spacing w:after="0" w:line="240" w:lineRule="auto"/>
              <w:jc w:val="center"/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Fino a un massimo di punti 14,00</w:t>
            </w:r>
          </w:p>
          <w:p w14:paraId="0F06DCD2" w14:textId="77777777" w:rsidR="00050E52" w:rsidRDefault="00DC616E">
            <w:pPr>
              <w:widowControl w:val="0"/>
              <w:spacing w:before="120" w:line="100" w:lineRule="atLeast"/>
              <w:jc w:val="center"/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da un minimo di punti 10,51</w:t>
            </w:r>
          </w:p>
        </w:tc>
      </w:tr>
      <w:tr w:rsidR="00050E52" w14:paraId="2C313C99" w14:textId="77777777">
        <w:trPr>
          <w:cantSplit/>
        </w:trPr>
        <w:tc>
          <w:tcPr>
            <w:tcW w:w="7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BF045A7" w14:textId="77777777" w:rsidR="00050E52" w:rsidRDefault="00DC616E">
            <w:pPr>
              <w:widowControl w:val="0"/>
              <w:spacing w:before="120" w:after="0" w:line="100" w:lineRule="atLeast"/>
              <w:jc w:val="both"/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lastRenderedPageBreak/>
              <w:t xml:space="preserve">significativa: 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la riduzione significativa di garanzie circostanziate o di somme assicurate afferenti rischi specifici con significativa potenzialità e frequenza di danno, e che rappresentano elementi sensibili dell’oggetto della garanzia; l’introduzione di scoperti o di franchigie a carico dell’assicurato di entità significativa e di impatto economico consistente per l’assicurato.</w:t>
            </w: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BACDD5B" w14:textId="77777777" w:rsidR="00050E52" w:rsidRDefault="00DC616E">
            <w:pPr>
              <w:widowControl w:val="0"/>
              <w:spacing w:after="0" w:line="240" w:lineRule="auto"/>
              <w:jc w:val="center"/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fino a un massimo di punti 10,50</w:t>
            </w:r>
          </w:p>
          <w:p w14:paraId="51B49CB0" w14:textId="77777777" w:rsidR="00050E52" w:rsidRDefault="00050E52">
            <w:pPr>
              <w:widowControl w:val="0"/>
              <w:spacing w:after="0" w:line="240" w:lineRule="auto"/>
              <w:jc w:val="center"/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  <w:p w14:paraId="18EBE15C" w14:textId="77777777" w:rsidR="00050E52" w:rsidRDefault="00DC616E">
            <w:pPr>
              <w:widowControl w:val="0"/>
              <w:spacing w:after="0" w:line="240" w:lineRule="auto"/>
              <w:jc w:val="center"/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da un minimo di punti 7,01</w:t>
            </w:r>
          </w:p>
        </w:tc>
      </w:tr>
      <w:tr w:rsidR="00050E52" w14:paraId="4A6F4975" w14:textId="77777777">
        <w:trPr>
          <w:cantSplit/>
        </w:trPr>
        <w:tc>
          <w:tcPr>
            <w:tcW w:w="7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7EE7991" w14:textId="77777777" w:rsidR="00050E52" w:rsidRDefault="00DC616E">
            <w:pPr>
              <w:widowControl w:val="0"/>
              <w:spacing w:after="0" w:line="240" w:lineRule="auto"/>
              <w:jc w:val="both"/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media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: la riduzione contenuta di garanzie circostanziate o di somme assicurate afferenti rischi specifici con potenzialità e frequenza di danno circoscritta, e che non rientrano tra i contenuti prevalenti dell’oggetto della garanzia; l’introduzione o l’incremento di scoperti o di franchigie a carico dell’assicurato su garanzie rilevanti e di una certa frequenza, seppure di entità limitata e di tolleranza compatibile con il contenuto della prestazione assicurativa di quella specifica garanzia e di impatto economico contenuto per l’assicurato; si intende di media entità anche la variante che limita in modo significativo modalità gestionali od operative del contratto, finalizzate a facilitarne la semplificata ed agevole esecuzione e gestione.</w:t>
            </w: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2BAB487" w14:textId="77777777" w:rsidR="00050E52" w:rsidRDefault="00DC616E">
            <w:pPr>
              <w:widowControl w:val="0"/>
              <w:spacing w:before="120" w:line="100" w:lineRule="atLeast"/>
              <w:jc w:val="center"/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fino a un massimo di punti 7,00</w:t>
            </w:r>
          </w:p>
          <w:p w14:paraId="1FAC5478" w14:textId="77777777" w:rsidR="00050E52" w:rsidRDefault="00050E52">
            <w:pPr>
              <w:widowControl w:val="0"/>
              <w:spacing w:after="0" w:line="240" w:lineRule="auto"/>
              <w:jc w:val="center"/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  <w:p w14:paraId="313146A1" w14:textId="77777777" w:rsidR="00050E52" w:rsidRDefault="00DC616E">
            <w:pPr>
              <w:widowControl w:val="0"/>
              <w:spacing w:after="0" w:line="240" w:lineRule="auto"/>
              <w:jc w:val="center"/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da un minimo di punti 3,51</w:t>
            </w:r>
          </w:p>
        </w:tc>
      </w:tr>
      <w:tr w:rsidR="00050E52" w14:paraId="4FA18D64" w14:textId="77777777">
        <w:trPr>
          <w:cantSplit/>
        </w:trPr>
        <w:tc>
          <w:tcPr>
            <w:tcW w:w="7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A61E579" w14:textId="77777777" w:rsidR="00050E52" w:rsidRDefault="00DC616E">
            <w:pPr>
              <w:widowControl w:val="0"/>
              <w:spacing w:before="120" w:after="0" w:line="100" w:lineRule="atLeast"/>
              <w:jc w:val="both"/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 xml:space="preserve">lieve: 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la variante che interviene e modifica l’estensione\i di rischi specifici dell'attività oggetto della copertura, con contenuta potenzialità di danno in termini di entità, e di verificazione sporadica; l’introduzione o l’incremento di scoperti o di franchigie a carico dell’assicurato di entità limitata e tollerabile che non interessano le garanzie e i contenuti principali della prestazione assicurativa prevista dal capitolato tecnico; si intende lieve anche la variante che limita modalità e prescrizioni gestionali od operative del servizio, pur salvaguardandone gli elementi prevalenti di buona e semplificata gestione.</w:t>
            </w: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8AD0FE1" w14:textId="77777777" w:rsidR="00050E52" w:rsidRDefault="00DC616E">
            <w:pPr>
              <w:widowControl w:val="0"/>
              <w:spacing w:before="120" w:line="100" w:lineRule="atLeast"/>
              <w:jc w:val="center"/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fino a un massimo di punti 3,50</w:t>
            </w:r>
          </w:p>
          <w:p w14:paraId="7246D1B3" w14:textId="77777777" w:rsidR="00050E52" w:rsidRDefault="00050E52">
            <w:pPr>
              <w:widowControl w:val="0"/>
              <w:spacing w:after="0" w:line="240" w:lineRule="auto"/>
              <w:jc w:val="center"/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</w:p>
          <w:p w14:paraId="21E7AB40" w14:textId="77777777" w:rsidR="00050E52" w:rsidRDefault="00DC616E">
            <w:pPr>
              <w:widowControl w:val="0"/>
              <w:spacing w:before="120" w:line="100" w:lineRule="atLeast"/>
              <w:jc w:val="center"/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da un minimo di punti 0,01</w:t>
            </w:r>
          </w:p>
        </w:tc>
      </w:tr>
      <w:tr w:rsidR="00050E52" w14:paraId="7D20BCBF" w14:textId="77777777">
        <w:trPr>
          <w:cantSplit/>
        </w:trPr>
        <w:tc>
          <w:tcPr>
            <w:tcW w:w="7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3BA18B0" w14:textId="77777777" w:rsidR="00050E52" w:rsidRDefault="00DC616E">
            <w:pPr>
              <w:widowControl w:val="0"/>
              <w:spacing w:before="120" w:after="0" w:line="100" w:lineRule="atLeast"/>
              <w:jc w:val="both"/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ininfluente</w:t>
            </w:r>
            <w:r>
              <w:rPr>
                <w:rFonts w:ascii="Verdana" w:eastAsia="Lucida Sans Unicode" w:hAnsi="Verdana" w:cs="Tahoma"/>
                <w:color w:val="000000"/>
                <w:kern w:val="2"/>
                <w:sz w:val="20"/>
                <w:szCs w:val="20"/>
                <w:lang w:eastAsia="zh-CN" w:bidi="hi-IN"/>
              </w:rPr>
              <w:t>: la variante che non comporta modifiche ai contenuti di garanzia espressi con il capitolato tecnico, ma si limita a precisare o riformulare una clausola od un elemento contrattuale tale da mantenere inalterato il contenuto qualitativo della garanzia di cui allo schema contrattuale del capitolato tecnico di polizza.</w:t>
            </w: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551C5DF" w14:textId="77777777" w:rsidR="00050E52" w:rsidRDefault="00DC616E">
            <w:pPr>
              <w:widowControl w:val="0"/>
              <w:spacing w:before="120" w:after="0" w:line="100" w:lineRule="atLeast"/>
              <w:jc w:val="center"/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Verdana" w:eastAsia="Lucida Sans Unicode" w:hAnsi="Verdana" w:cs="Tahoma"/>
                <w:b/>
                <w:bCs/>
                <w:color w:val="000000"/>
                <w:kern w:val="2"/>
                <w:sz w:val="20"/>
                <w:szCs w:val="20"/>
                <w:lang w:eastAsia="zh-CN" w:bidi="hi-IN"/>
              </w:rPr>
              <w:t>Nessun punteggio in detrazione</w:t>
            </w:r>
          </w:p>
        </w:tc>
      </w:tr>
    </w:tbl>
    <w:p w14:paraId="6BF5E930" w14:textId="77777777" w:rsidR="00050E52" w:rsidRDefault="00050E52">
      <w:pPr>
        <w:widowControl w:val="0"/>
        <w:spacing w:after="0" w:line="240" w:lineRule="auto"/>
        <w:rPr>
          <w:rFonts w:ascii="Verdana" w:eastAsia="Lucida Sans Unicode" w:hAnsi="Verdana" w:cs="Tahoma"/>
          <w:bCs/>
          <w:color w:val="000000"/>
          <w:kern w:val="2"/>
          <w:shd w:val="clear" w:color="auto" w:fill="FFFF00"/>
          <w:lang w:eastAsia="zh-CN" w:bidi="hi-IN"/>
        </w:rPr>
      </w:pPr>
    </w:p>
    <w:p w14:paraId="53FFD5BD" w14:textId="49BEF82E" w:rsidR="00050E52" w:rsidRDefault="00DC616E">
      <w:pPr>
        <w:widowControl w:val="0"/>
        <w:spacing w:after="0" w:line="240" w:lineRule="auto"/>
        <w:jc w:val="both"/>
      </w:pPr>
      <w:r>
        <w:rPr>
          <w:rFonts w:ascii="Verdana" w:eastAsia="Lucida Sans Unicode" w:hAnsi="Verdana" w:cs="Tahoma"/>
          <w:b/>
          <w:bCs/>
          <w:color w:val="000000"/>
          <w:kern w:val="2"/>
          <w:lang w:eastAsia="zh-CN" w:bidi="hi-IN"/>
        </w:rPr>
        <w:t>Nota bene:</w:t>
      </w:r>
      <w:r>
        <w:rPr>
          <w:rFonts w:ascii="Verdana" w:eastAsia="Lucida Sans Unicode" w:hAnsi="Verdana" w:cs="Tahoma"/>
          <w:bCs/>
          <w:color w:val="000000"/>
          <w:kern w:val="2"/>
          <w:lang w:eastAsia="zh-CN" w:bidi="hi-IN"/>
        </w:rPr>
        <w:t xml:space="preserve"> rimane ferma la facoltà per la Commissione di escludere il Concorrente dalla gara e di non procedere all’apertura dell’Offerta Economica nel caso di un’Offerta Tecnica che, nel suo complesso o in relazione a specifiche varianti peggiorative, così come proposta, svuoti la ratio della </w:t>
      </w:r>
      <w:r w:rsidR="00D86D13">
        <w:rPr>
          <w:rFonts w:ascii="Verdana" w:eastAsia="Lucida Sans Unicode" w:hAnsi="Verdana" w:cs="Tahoma"/>
          <w:bCs/>
          <w:color w:val="000000"/>
          <w:kern w:val="2"/>
          <w:lang w:eastAsia="zh-CN" w:bidi="hi-IN"/>
        </w:rPr>
        <w:t>copertura</w:t>
      </w:r>
      <w:r>
        <w:rPr>
          <w:rFonts w:ascii="Verdana" w:eastAsia="Lucida Sans Unicode" w:hAnsi="Verdana" w:cs="Tahoma"/>
          <w:bCs/>
          <w:color w:val="000000"/>
          <w:kern w:val="2"/>
          <w:lang w:eastAsia="zh-CN" w:bidi="hi-IN"/>
        </w:rPr>
        <w:t xml:space="preserve"> stessa spostando, nella sostanza, sul Contraente/assicurato le conseguenze economiche del verificarsi dell’evento dannoso, ovvero spostando la soglia di intervento della garanzia a un punto o a condizioni tali da rendere non conveniente la stipula della polizza stessa.</w:t>
      </w:r>
    </w:p>
    <w:sectPr w:rsidR="00050E52">
      <w:footerReference w:type="default" r:id="rId7"/>
      <w:pgSz w:w="11906" w:h="16838"/>
      <w:pgMar w:top="1417" w:right="1134" w:bottom="1134" w:left="1134" w:header="0" w:footer="708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FDC45" w14:textId="77777777" w:rsidR="0053342C" w:rsidRDefault="0053342C">
      <w:pPr>
        <w:spacing w:after="0" w:line="240" w:lineRule="auto"/>
      </w:pPr>
      <w:r>
        <w:separator/>
      </w:r>
    </w:p>
  </w:endnote>
  <w:endnote w:type="continuationSeparator" w:id="0">
    <w:p w14:paraId="6A4BED76" w14:textId="77777777" w:rsidR="0053342C" w:rsidRDefault="0053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98BE4" w14:textId="77777777" w:rsidR="00591BF6" w:rsidRDefault="00591BF6">
    <w:pPr>
      <w:spacing w:after="0" w:line="240" w:lineRule="auto"/>
      <w:jc w:val="right"/>
      <w:rPr>
        <w:rFonts w:ascii="Calibri,Bold" w:hAnsi="Calibri,Bold" w:cs="Calibri,Bold"/>
        <w:bCs/>
        <w:color w:val="A6A6A6"/>
        <w:sz w:val="18"/>
        <w:szCs w:val="18"/>
      </w:rPr>
    </w:pPr>
    <w:r>
      <w:rPr>
        <w:rFonts w:ascii="Calibri,Bold" w:hAnsi="Calibri,Bold" w:cs="Calibri,Bold"/>
        <w:bCs/>
        <w:color w:val="A6A6A6"/>
        <w:sz w:val="18"/>
        <w:szCs w:val="18"/>
      </w:rPr>
      <w:t xml:space="preserve">Allegato COT al Disciplinare di gara </w:t>
    </w:r>
  </w:p>
  <w:p w14:paraId="00489A60" w14:textId="77777777" w:rsidR="00591BF6" w:rsidRDefault="00591B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9C949" w14:textId="77777777" w:rsidR="0053342C" w:rsidRDefault="0053342C">
      <w:pPr>
        <w:spacing w:after="0" w:line="240" w:lineRule="auto"/>
      </w:pPr>
      <w:r>
        <w:separator/>
      </w:r>
    </w:p>
  </w:footnote>
  <w:footnote w:type="continuationSeparator" w:id="0">
    <w:p w14:paraId="7FAC2A48" w14:textId="77777777" w:rsidR="0053342C" w:rsidRDefault="005334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F5AD8"/>
    <w:multiLevelType w:val="multilevel"/>
    <w:tmpl w:val="9A08C95E"/>
    <w:lvl w:ilvl="0">
      <w:start w:val="1"/>
      <w:numFmt w:val="decimal"/>
      <w:lvlText w:val="%1"/>
      <w:lvlJc w:val="left"/>
      <w:pPr>
        <w:tabs>
          <w:tab w:val="num" w:pos="0"/>
        </w:tabs>
        <w:ind w:left="566" w:hanging="283"/>
      </w:pPr>
    </w:lvl>
    <w:lvl w:ilvl="1">
      <w:start w:val="1"/>
      <w:numFmt w:val="lowerLetter"/>
      <w:lvlText w:val="%1.%2"/>
      <w:lvlJc w:val="left"/>
      <w:pPr>
        <w:tabs>
          <w:tab w:val="num" w:pos="1723"/>
        </w:tabs>
        <w:ind w:left="1723" w:hanging="360"/>
      </w:pPr>
    </w:lvl>
    <w:lvl w:ilvl="2">
      <w:start w:val="1"/>
      <w:numFmt w:val="lowerRoman"/>
      <w:lvlText w:val="%2.%3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3.%4"/>
      <w:lvlJc w:val="left"/>
      <w:pPr>
        <w:tabs>
          <w:tab w:val="num" w:pos="3163"/>
        </w:tabs>
        <w:ind w:left="3163" w:hanging="360"/>
      </w:pPr>
    </w:lvl>
    <w:lvl w:ilvl="4">
      <w:start w:val="1"/>
      <w:numFmt w:val="lowerLetter"/>
      <w:lvlText w:val="%4.%5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5.%6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6.%7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7.%8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8.%9"/>
      <w:lvlJc w:val="right"/>
      <w:pPr>
        <w:tabs>
          <w:tab w:val="num" w:pos="6763"/>
        </w:tabs>
        <w:ind w:left="6763" w:hanging="180"/>
      </w:pPr>
    </w:lvl>
  </w:abstractNum>
  <w:abstractNum w:abstractNumId="1" w15:restartNumberingAfterBreak="0">
    <w:nsid w:val="0ED11AF9"/>
    <w:multiLevelType w:val="hybridMultilevel"/>
    <w:tmpl w:val="FD2E6A3E"/>
    <w:lvl w:ilvl="0" w:tplc="547CADC4">
      <w:start w:val="1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0207A4"/>
    <w:multiLevelType w:val="multilevel"/>
    <w:tmpl w:val="884C6180"/>
    <w:lvl w:ilvl="0">
      <w:start w:val="1"/>
      <w:numFmt w:val="bullet"/>
      <w:lvlText w:val="-"/>
      <w:lvlJc w:val="left"/>
      <w:pPr>
        <w:tabs>
          <w:tab w:val="num" w:pos="0"/>
        </w:tabs>
        <w:ind w:left="453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1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5942711"/>
    <w:multiLevelType w:val="multilevel"/>
    <w:tmpl w:val="C2467F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76F0740"/>
    <w:multiLevelType w:val="multilevel"/>
    <w:tmpl w:val="86422A6A"/>
    <w:lvl w:ilvl="0">
      <w:start w:val="1"/>
      <w:numFmt w:val="decimal"/>
      <w:lvlText w:val="%1"/>
      <w:lvlJc w:val="left"/>
      <w:pPr>
        <w:tabs>
          <w:tab w:val="num" w:pos="0"/>
        </w:tabs>
        <w:ind w:left="566" w:hanging="283"/>
      </w:pPr>
    </w:lvl>
    <w:lvl w:ilvl="1">
      <w:start w:val="1"/>
      <w:numFmt w:val="lowerLetter"/>
      <w:lvlText w:val="%1.%2"/>
      <w:lvlJc w:val="left"/>
      <w:pPr>
        <w:tabs>
          <w:tab w:val="num" w:pos="1723"/>
        </w:tabs>
        <w:ind w:left="1723" w:hanging="360"/>
      </w:pPr>
    </w:lvl>
    <w:lvl w:ilvl="2">
      <w:start w:val="1"/>
      <w:numFmt w:val="lowerRoman"/>
      <w:lvlText w:val="%2.%3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3.%4"/>
      <w:lvlJc w:val="left"/>
      <w:pPr>
        <w:tabs>
          <w:tab w:val="num" w:pos="3163"/>
        </w:tabs>
        <w:ind w:left="3163" w:hanging="360"/>
      </w:pPr>
    </w:lvl>
    <w:lvl w:ilvl="4">
      <w:start w:val="1"/>
      <w:numFmt w:val="lowerLetter"/>
      <w:lvlText w:val="%4.%5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5.%6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6.%7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7.%8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8.%9"/>
      <w:lvlJc w:val="right"/>
      <w:pPr>
        <w:tabs>
          <w:tab w:val="num" w:pos="6763"/>
        </w:tabs>
        <w:ind w:left="6763" w:hanging="180"/>
      </w:pPr>
    </w:lvl>
  </w:abstractNum>
  <w:abstractNum w:abstractNumId="5" w15:restartNumberingAfterBreak="0">
    <w:nsid w:val="5C02107F"/>
    <w:multiLevelType w:val="hybridMultilevel"/>
    <w:tmpl w:val="06AAEC0C"/>
    <w:lvl w:ilvl="0" w:tplc="D21C0B5C">
      <w:start w:val="1"/>
      <w:numFmt w:val="bullet"/>
      <w:lvlText w:val=""/>
      <w:lvlJc w:val="left"/>
      <w:pPr>
        <w:ind w:left="1434" w:hanging="360"/>
      </w:pPr>
      <w:rPr>
        <w:rFonts w:ascii="Symbol" w:hAnsi="Symbol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Times New Roman" w:hint="default"/>
      </w:rPr>
    </w:lvl>
  </w:abstractNum>
  <w:num w:numId="1" w16cid:durableId="1949846960">
    <w:abstractNumId w:val="2"/>
  </w:num>
  <w:num w:numId="2" w16cid:durableId="1879538644">
    <w:abstractNumId w:val="0"/>
  </w:num>
  <w:num w:numId="3" w16cid:durableId="289898251">
    <w:abstractNumId w:val="4"/>
  </w:num>
  <w:num w:numId="4" w16cid:durableId="625938679">
    <w:abstractNumId w:val="3"/>
  </w:num>
  <w:num w:numId="5" w16cid:durableId="1935624691">
    <w:abstractNumId w:val="1"/>
  </w:num>
  <w:num w:numId="6" w16cid:durableId="1895853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E52"/>
    <w:rsid w:val="00013118"/>
    <w:rsid w:val="00013812"/>
    <w:rsid w:val="000343CA"/>
    <w:rsid w:val="00050E52"/>
    <w:rsid w:val="00055C80"/>
    <w:rsid w:val="0006567C"/>
    <w:rsid w:val="000900A0"/>
    <w:rsid w:val="00093577"/>
    <w:rsid w:val="00093AF9"/>
    <w:rsid w:val="000963AF"/>
    <w:rsid w:val="000A088B"/>
    <w:rsid w:val="000A1849"/>
    <w:rsid w:val="000A3801"/>
    <w:rsid w:val="000C16A1"/>
    <w:rsid w:val="000C78A2"/>
    <w:rsid w:val="000D2E6B"/>
    <w:rsid w:val="000D5DD5"/>
    <w:rsid w:val="000D7E91"/>
    <w:rsid w:val="000E7F19"/>
    <w:rsid w:val="000F1222"/>
    <w:rsid w:val="000F7422"/>
    <w:rsid w:val="001108A9"/>
    <w:rsid w:val="00123B7B"/>
    <w:rsid w:val="0012443F"/>
    <w:rsid w:val="00141218"/>
    <w:rsid w:val="00141FE8"/>
    <w:rsid w:val="00154E9E"/>
    <w:rsid w:val="0015773E"/>
    <w:rsid w:val="00164757"/>
    <w:rsid w:val="001716EC"/>
    <w:rsid w:val="00171EA7"/>
    <w:rsid w:val="00190AD3"/>
    <w:rsid w:val="001948A9"/>
    <w:rsid w:val="00195794"/>
    <w:rsid w:val="001A3397"/>
    <w:rsid w:val="001A38F3"/>
    <w:rsid w:val="001A74D5"/>
    <w:rsid w:val="001C2070"/>
    <w:rsid w:val="001E2495"/>
    <w:rsid w:val="001F090D"/>
    <w:rsid w:val="00200796"/>
    <w:rsid w:val="00204F88"/>
    <w:rsid w:val="00215DFC"/>
    <w:rsid w:val="00215E2A"/>
    <w:rsid w:val="00217080"/>
    <w:rsid w:val="00217499"/>
    <w:rsid w:val="0022083F"/>
    <w:rsid w:val="00220E48"/>
    <w:rsid w:val="002373AE"/>
    <w:rsid w:val="00262379"/>
    <w:rsid w:val="002643B2"/>
    <w:rsid w:val="00270E91"/>
    <w:rsid w:val="00271D33"/>
    <w:rsid w:val="00290FB5"/>
    <w:rsid w:val="00297898"/>
    <w:rsid w:val="002B2E96"/>
    <w:rsid w:val="002C2829"/>
    <w:rsid w:val="002C4DCC"/>
    <w:rsid w:val="002D4FD0"/>
    <w:rsid w:val="002E45CC"/>
    <w:rsid w:val="002F55E7"/>
    <w:rsid w:val="00302F3D"/>
    <w:rsid w:val="00303785"/>
    <w:rsid w:val="003042A6"/>
    <w:rsid w:val="0030432C"/>
    <w:rsid w:val="00306CD0"/>
    <w:rsid w:val="003071A1"/>
    <w:rsid w:val="00327AA1"/>
    <w:rsid w:val="00352ADB"/>
    <w:rsid w:val="00352EDC"/>
    <w:rsid w:val="00377641"/>
    <w:rsid w:val="00390376"/>
    <w:rsid w:val="003A0F83"/>
    <w:rsid w:val="003C25B2"/>
    <w:rsid w:val="003D2A6E"/>
    <w:rsid w:val="003D6513"/>
    <w:rsid w:val="003E38E7"/>
    <w:rsid w:val="003F5FDD"/>
    <w:rsid w:val="00432A62"/>
    <w:rsid w:val="00435E2C"/>
    <w:rsid w:val="00437B31"/>
    <w:rsid w:val="0045299E"/>
    <w:rsid w:val="004537E6"/>
    <w:rsid w:val="00454537"/>
    <w:rsid w:val="00467436"/>
    <w:rsid w:val="00467B6A"/>
    <w:rsid w:val="00474F69"/>
    <w:rsid w:val="00484018"/>
    <w:rsid w:val="00486730"/>
    <w:rsid w:val="004869EF"/>
    <w:rsid w:val="00497712"/>
    <w:rsid w:val="004C7A05"/>
    <w:rsid w:val="004D12FB"/>
    <w:rsid w:val="004E1ABC"/>
    <w:rsid w:val="004E784D"/>
    <w:rsid w:val="004F5A0B"/>
    <w:rsid w:val="004F7C76"/>
    <w:rsid w:val="00501E97"/>
    <w:rsid w:val="0051225C"/>
    <w:rsid w:val="00514763"/>
    <w:rsid w:val="0051537E"/>
    <w:rsid w:val="00523FE1"/>
    <w:rsid w:val="00526E6D"/>
    <w:rsid w:val="0053342C"/>
    <w:rsid w:val="0054394D"/>
    <w:rsid w:val="00550896"/>
    <w:rsid w:val="00554CE5"/>
    <w:rsid w:val="00561A5F"/>
    <w:rsid w:val="00561EB7"/>
    <w:rsid w:val="00562A18"/>
    <w:rsid w:val="00564179"/>
    <w:rsid w:val="00572996"/>
    <w:rsid w:val="00574418"/>
    <w:rsid w:val="00582B71"/>
    <w:rsid w:val="005916BF"/>
    <w:rsid w:val="00591BF6"/>
    <w:rsid w:val="005978F4"/>
    <w:rsid w:val="005A2929"/>
    <w:rsid w:val="005C7160"/>
    <w:rsid w:val="005D68E4"/>
    <w:rsid w:val="005E1203"/>
    <w:rsid w:val="005E2DD4"/>
    <w:rsid w:val="005E39FF"/>
    <w:rsid w:val="00612646"/>
    <w:rsid w:val="00613421"/>
    <w:rsid w:val="00632A63"/>
    <w:rsid w:val="00636F8E"/>
    <w:rsid w:val="00637B4B"/>
    <w:rsid w:val="00661A67"/>
    <w:rsid w:val="00662567"/>
    <w:rsid w:val="00663886"/>
    <w:rsid w:val="00663D7F"/>
    <w:rsid w:val="006640A1"/>
    <w:rsid w:val="00674AFE"/>
    <w:rsid w:val="00674C49"/>
    <w:rsid w:val="00681CD8"/>
    <w:rsid w:val="006845C3"/>
    <w:rsid w:val="006C7AC6"/>
    <w:rsid w:val="006D0C6A"/>
    <w:rsid w:val="006D32CB"/>
    <w:rsid w:val="006D4D83"/>
    <w:rsid w:val="006F2C4C"/>
    <w:rsid w:val="007039D0"/>
    <w:rsid w:val="00704C04"/>
    <w:rsid w:val="00706DCF"/>
    <w:rsid w:val="00731A64"/>
    <w:rsid w:val="00732E23"/>
    <w:rsid w:val="00750D1A"/>
    <w:rsid w:val="00763C78"/>
    <w:rsid w:val="00776EAA"/>
    <w:rsid w:val="00793C09"/>
    <w:rsid w:val="007A3912"/>
    <w:rsid w:val="007A6BDD"/>
    <w:rsid w:val="007B0C82"/>
    <w:rsid w:val="007B5A82"/>
    <w:rsid w:val="007C4980"/>
    <w:rsid w:val="007C502C"/>
    <w:rsid w:val="007D0938"/>
    <w:rsid w:val="007E73B0"/>
    <w:rsid w:val="00801CA6"/>
    <w:rsid w:val="0080499B"/>
    <w:rsid w:val="00805EB0"/>
    <w:rsid w:val="00817279"/>
    <w:rsid w:val="008419A8"/>
    <w:rsid w:val="0084756C"/>
    <w:rsid w:val="00863ABA"/>
    <w:rsid w:val="00882DB7"/>
    <w:rsid w:val="008855D6"/>
    <w:rsid w:val="00891DF4"/>
    <w:rsid w:val="008A4F1F"/>
    <w:rsid w:val="008B6AFF"/>
    <w:rsid w:val="008C0F8D"/>
    <w:rsid w:val="008C7077"/>
    <w:rsid w:val="008D360E"/>
    <w:rsid w:val="008E478E"/>
    <w:rsid w:val="008F0ADC"/>
    <w:rsid w:val="0091084D"/>
    <w:rsid w:val="00933179"/>
    <w:rsid w:val="00942BCA"/>
    <w:rsid w:val="00946496"/>
    <w:rsid w:val="009464D9"/>
    <w:rsid w:val="00964A0A"/>
    <w:rsid w:val="00972929"/>
    <w:rsid w:val="00995983"/>
    <w:rsid w:val="009B05E7"/>
    <w:rsid w:val="009B469B"/>
    <w:rsid w:val="009C078E"/>
    <w:rsid w:val="009C68FF"/>
    <w:rsid w:val="009C6D0F"/>
    <w:rsid w:val="009D7606"/>
    <w:rsid w:val="009E3ABB"/>
    <w:rsid w:val="009F7956"/>
    <w:rsid w:val="00A03264"/>
    <w:rsid w:val="00A07A4F"/>
    <w:rsid w:val="00A148D9"/>
    <w:rsid w:val="00A247AD"/>
    <w:rsid w:val="00A3178C"/>
    <w:rsid w:val="00A33284"/>
    <w:rsid w:val="00A53871"/>
    <w:rsid w:val="00A611B0"/>
    <w:rsid w:val="00A6413B"/>
    <w:rsid w:val="00A929CD"/>
    <w:rsid w:val="00AB1B90"/>
    <w:rsid w:val="00AC2F19"/>
    <w:rsid w:val="00AD33BF"/>
    <w:rsid w:val="00AD3484"/>
    <w:rsid w:val="00AD3B7D"/>
    <w:rsid w:val="00AE565B"/>
    <w:rsid w:val="00AF0F9D"/>
    <w:rsid w:val="00AF2439"/>
    <w:rsid w:val="00B20DB2"/>
    <w:rsid w:val="00B213DB"/>
    <w:rsid w:val="00B267E1"/>
    <w:rsid w:val="00B47705"/>
    <w:rsid w:val="00B52105"/>
    <w:rsid w:val="00B564F2"/>
    <w:rsid w:val="00B61306"/>
    <w:rsid w:val="00B662D2"/>
    <w:rsid w:val="00B701BF"/>
    <w:rsid w:val="00B7566E"/>
    <w:rsid w:val="00B813B1"/>
    <w:rsid w:val="00B82DCD"/>
    <w:rsid w:val="00B845D3"/>
    <w:rsid w:val="00B85EBA"/>
    <w:rsid w:val="00B87EFF"/>
    <w:rsid w:val="00B96C7B"/>
    <w:rsid w:val="00BB480A"/>
    <w:rsid w:val="00BB49EB"/>
    <w:rsid w:val="00BC0462"/>
    <w:rsid w:val="00BC1705"/>
    <w:rsid w:val="00BD3466"/>
    <w:rsid w:val="00BE0AEF"/>
    <w:rsid w:val="00BE1E21"/>
    <w:rsid w:val="00BF3381"/>
    <w:rsid w:val="00BF3664"/>
    <w:rsid w:val="00BF381F"/>
    <w:rsid w:val="00BF58E8"/>
    <w:rsid w:val="00C03A3E"/>
    <w:rsid w:val="00C0455A"/>
    <w:rsid w:val="00C163C2"/>
    <w:rsid w:val="00C17A71"/>
    <w:rsid w:val="00C2081F"/>
    <w:rsid w:val="00C23D1C"/>
    <w:rsid w:val="00C31B7F"/>
    <w:rsid w:val="00C33A1D"/>
    <w:rsid w:val="00C52687"/>
    <w:rsid w:val="00C6167B"/>
    <w:rsid w:val="00C65E0F"/>
    <w:rsid w:val="00C905DB"/>
    <w:rsid w:val="00C95A99"/>
    <w:rsid w:val="00CB5000"/>
    <w:rsid w:val="00CD0D95"/>
    <w:rsid w:val="00CD27C6"/>
    <w:rsid w:val="00CD2989"/>
    <w:rsid w:val="00CF1CBD"/>
    <w:rsid w:val="00D15F9C"/>
    <w:rsid w:val="00D26B3C"/>
    <w:rsid w:val="00D300E5"/>
    <w:rsid w:val="00D300FE"/>
    <w:rsid w:val="00D42E19"/>
    <w:rsid w:val="00D47B8B"/>
    <w:rsid w:val="00D553C7"/>
    <w:rsid w:val="00D642DC"/>
    <w:rsid w:val="00D66A86"/>
    <w:rsid w:val="00D72968"/>
    <w:rsid w:val="00D8433B"/>
    <w:rsid w:val="00D86D13"/>
    <w:rsid w:val="00D927E2"/>
    <w:rsid w:val="00DA20CB"/>
    <w:rsid w:val="00DA2647"/>
    <w:rsid w:val="00DB2CD7"/>
    <w:rsid w:val="00DB64CB"/>
    <w:rsid w:val="00DC0B2C"/>
    <w:rsid w:val="00DC350B"/>
    <w:rsid w:val="00DC616E"/>
    <w:rsid w:val="00DC7A77"/>
    <w:rsid w:val="00DD1543"/>
    <w:rsid w:val="00DD373B"/>
    <w:rsid w:val="00DD6F87"/>
    <w:rsid w:val="00DD7328"/>
    <w:rsid w:val="00E00758"/>
    <w:rsid w:val="00E01ABC"/>
    <w:rsid w:val="00E02126"/>
    <w:rsid w:val="00E02F99"/>
    <w:rsid w:val="00E06816"/>
    <w:rsid w:val="00E24AAA"/>
    <w:rsid w:val="00E3273E"/>
    <w:rsid w:val="00E44779"/>
    <w:rsid w:val="00E44790"/>
    <w:rsid w:val="00E61708"/>
    <w:rsid w:val="00E64539"/>
    <w:rsid w:val="00E77F35"/>
    <w:rsid w:val="00E94564"/>
    <w:rsid w:val="00E972BD"/>
    <w:rsid w:val="00EA12D0"/>
    <w:rsid w:val="00EA414A"/>
    <w:rsid w:val="00EA4B6F"/>
    <w:rsid w:val="00EA65AD"/>
    <w:rsid w:val="00EB08E0"/>
    <w:rsid w:val="00EC08E6"/>
    <w:rsid w:val="00EC2CBA"/>
    <w:rsid w:val="00EC55EC"/>
    <w:rsid w:val="00EE22F7"/>
    <w:rsid w:val="00EE310A"/>
    <w:rsid w:val="00EE6121"/>
    <w:rsid w:val="00F0148C"/>
    <w:rsid w:val="00F1151C"/>
    <w:rsid w:val="00F1502B"/>
    <w:rsid w:val="00F3675A"/>
    <w:rsid w:val="00F45241"/>
    <w:rsid w:val="00F511E6"/>
    <w:rsid w:val="00F55443"/>
    <w:rsid w:val="00F601AB"/>
    <w:rsid w:val="00F60A2C"/>
    <w:rsid w:val="00F8237E"/>
    <w:rsid w:val="00F8483D"/>
    <w:rsid w:val="00F84A0C"/>
    <w:rsid w:val="00F84F9E"/>
    <w:rsid w:val="00F9399E"/>
    <w:rsid w:val="00F94CF0"/>
    <w:rsid w:val="00FB0593"/>
    <w:rsid w:val="00FB1F23"/>
    <w:rsid w:val="00FB339E"/>
    <w:rsid w:val="00FC032D"/>
    <w:rsid w:val="00FC112C"/>
    <w:rsid w:val="00FC522A"/>
    <w:rsid w:val="00FE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86A48"/>
  <w15:docId w15:val="{E761A7C9-9603-4EFC-9D05-9357A639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6496"/>
    <w:pPr>
      <w:spacing w:after="200" w:line="276" w:lineRule="auto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qFormat/>
  </w:style>
  <w:style w:type="character" w:customStyle="1" w:styleId="PidipaginaCarattere">
    <w:name w:val="Piè di pagina Carattere"/>
    <w:basedOn w:val="Carpredefinitoparagrafo"/>
    <w:qFormat/>
  </w:style>
  <w:style w:type="character" w:styleId="Rimandocommento">
    <w:name w:val="annotation reference"/>
    <w:basedOn w:val="Carpredefinitoparagrafo"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Pr>
      <w:sz w:val="20"/>
      <w:szCs w:val="20"/>
    </w:rPr>
  </w:style>
  <w:style w:type="character" w:customStyle="1" w:styleId="TestofumettoCarattere">
    <w:name w:val="Testo fumetto Carattere"/>
    <w:basedOn w:val="Carpredefinitoparagrafo"/>
    <w:qFormat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basedOn w:val="TestocommentoCarattere"/>
    <w:qFormat/>
    <w:rPr>
      <w:b/>
      <w:bCs/>
      <w:sz w:val="20"/>
      <w:szCs w:val="20"/>
    </w:r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qFormat/>
    <w:pPr>
      <w:ind w:left="720"/>
    </w:pPr>
  </w:style>
  <w:style w:type="paragraph" w:customStyle="1" w:styleId="Paragrafoelenco1">
    <w:name w:val="Paragrafo elenco1"/>
    <w:basedOn w:val="Normale"/>
    <w:qFormat/>
    <w:pPr>
      <w:spacing w:after="0" w:line="240" w:lineRule="auto"/>
      <w:ind w:left="708"/>
    </w:pPr>
    <w:rPr>
      <w:rFonts w:ascii="Times New Roman" w:hAnsi="Times New Roman"/>
      <w:sz w:val="20"/>
      <w:szCs w:val="20"/>
      <w:lang w:eastAsia="it-IT"/>
    </w:rPr>
  </w:style>
  <w:style w:type="paragraph" w:customStyle="1" w:styleId="Default">
    <w:name w:val="Default"/>
    <w:qFormat/>
    <w:pPr>
      <w:textAlignment w:val="baseline"/>
    </w:pPr>
    <w:rPr>
      <w:rFonts w:cs="Calibri"/>
      <w:color w:val="000000"/>
      <w:sz w:val="24"/>
      <w:szCs w:val="24"/>
    </w:rPr>
  </w:style>
  <w:style w:type="paragraph" w:styleId="Testocommento">
    <w:name w:val="annotation text"/>
    <w:basedOn w:val="Normale"/>
    <w:qFormat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qFormat/>
    <w:rPr>
      <w:b/>
      <w:bCs/>
    </w:rPr>
  </w:style>
  <w:style w:type="paragraph" w:customStyle="1" w:styleId="Corpodeltesto21">
    <w:name w:val="Corpo del testo 21"/>
    <w:basedOn w:val="Normale"/>
    <w:qFormat/>
    <w:pPr>
      <w:tabs>
        <w:tab w:val="left" w:pos="851"/>
      </w:tabs>
      <w:suppressAutoHyphens w:val="0"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0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1153</Words>
  <Characters>7011</Characters>
  <Application>Microsoft Office Word</Application>
  <DocSecurity>0</DocSecurity>
  <Lines>184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Willis</Company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Medini Lodi, Marco</dc:creator>
  <dc:description/>
  <cp:lastModifiedBy>Albanese, Nicola</cp:lastModifiedBy>
  <cp:revision>7</cp:revision>
  <dcterms:created xsi:type="dcterms:W3CDTF">2023-08-24T14:04:00Z</dcterms:created>
  <dcterms:modified xsi:type="dcterms:W3CDTF">2023-09-22T08:46:00Z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47b247-e90e-43a3-9d7b-004f14ae6873_ActionId">
    <vt:lpwstr>17d1ad73-ca15-43dd-b17d-1e49b63d918a</vt:lpwstr>
  </property>
  <property fmtid="{D5CDD505-2E9C-101B-9397-08002B2CF9AE}" pid="3" name="MSIP_Label_d347b247-e90e-43a3-9d7b-004f14ae6873_ContentBits">
    <vt:lpwstr>0</vt:lpwstr>
  </property>
  <property fmtid="{D5CDD505-2E9C-101B-9397-08002B2CF9AE}" pid="4" name="MSIP_Label_d347b247-e90e-43a3-9d7b-004f14ae6873_Enabled">
    <vt:lpwstr>true</vt:lpwstr>
  </property>
  <property fmtid="{D5CDD505-2E9C-101B-9397-08002B2CF9AE}" pid="5" name="MSIP_Label_d347b247-e90e-43a3-9d7b-004f14ae6873_Method">
    <vt:lpwstr>Standard</vt:lpwstr>
  </property>
  <property fmtid="{D5CDD505-2E9C-101B-9397-08002B2CF9AE}" pid="6" name="MSIP_Label_d347b247-e90e-43a3-9d7b-004f14ae6873_Name">
    <vt:lpwstr>d347b247-e90e-43a3-9d7b-004f14ae6873</vt:lpwstr>
  </property>
  <property fmtid="{D5CDD505-2E9C-101B-9397-08002B2CF9AE}" pid="7" name="MSIP_Label_d347b247-e90e-43a3-9d7b-004f14ae6873_SetDate">
    <vt:lpwstr>2021-04-16T09:42:20Z</vt:lpwstr>
  </property>
  <property fmtid="{D5CDD505-2E9C-101B-9397-08002B2CF9AE}" pid="8" name="MSIP_Label_d347b247-e90e-43a3-9d7b-004f14ae6873_SiteId">
    <vt:lpwstr>76e3921f-489b-4b7e-9547-9ea297add9b5</vt:lpwstr>
  </property>
  <property fmtid="{D5CDD505-2E9C-101B-9397-08002B2CF9AE}" pid="9" name="_NewReviewCycle">
    <vt:lpwstr/>
  </property>
</Properties>
</file>